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666fba9f07c4f3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9642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MIKLEUŠ</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726.223,17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802.475,41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730.974,75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857.905,18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4.751,58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55.429,77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1166,6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7.321,03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4.863,64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12.072,61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60.293,41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499,4</w:t>
            </w:r>
          </w:p>
        </w:tc>
      </w:tr>
    </w:tbl>
    <w:p>
      <w:pPr>
        <w:spacing w:before="0" w:after="0"/>
      </w:pPr>
    </w:p>
    <w:p>
      <w:r>
        <w:t xml:space="preserve">Ukupni prihodi se sastoje: od Županije 38.283,67 eur, od iznajmljivanja dvorane 4.728,50 eur, od EU sredstava za Pomoćnike u nastavi 46.268,63 eur,</w:t>
      </w:r>
    </w:p>
    <w:p>
      <w:r>
        <w:t xml:space="preserve">od Ministarstva 713.074,61 eur i donacije 120,00 eur.</w:t>
      </w:r>
    </w:p>
    <w:p>
      <w:r>
        <w:t xml:space="preserve">Ukupni rashodi se sastoje od: za zaposlene 762.742,95 eur, materijalni rashodi 86.063,66 eur, financijski rashodi 30,30, naknade građanima 9.068,27 eur.</w:t>
      </w:r>
    </w:p>
    <w:p>
      <w:r>
        <w:t xml:space="preserve">U godini 2025. ostvaren je manjak od 60.293,41 eura što s prenesenim manjkom u iznosu od 7.973,50 eur čini ukupni manjak u iznosu 68.266,91 eur.  </w:t>
      </w:r>
    </w:p>
    <w:p>
      <w:r>
        <w:br/>
      </w:r>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738.295,78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862.768,82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w:t>
            </w:r>
          </w:p>
        </w:tc>
      </w:tr>
    </w:tbl>
    <w:p>
      <w:pPr>
        <w:spacing w:before="0" w:after="0"/>
      </w:pPr>
    </w:p>
    <w:p>
      <w:r>
        <w:t xml:space="preserve">U ovom izvještaju su navedeni troškovi osnovnog obrazovanja za 2025. godinu.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obveze na kraju izvještajnog razdoblja iznose 78.084,65 eur.</w:t>
      </w:r>
    </w:p>
    <w:p>
      <w:r>
        <w:t xml:space="preserve">Obveze za zaposlene 61.418,79 eur, obveze za materijalne rashode 9.212,53 eur, obveze za financijske rashode 6,54 eur, obveze za naknade građanima 4.159,81 eur, obveze za nabavu proizvedene dugotrajne imovine 374,00 eur, obveze za povrat u proračun 2.912,98 eur.</w:t>
      </w:r>
    </w:p>
    <w:p/>
    <w:p>
      <w:pPr>
        <w:jc w:val="center"/>
        <w:pStyle w:val="Normal"/>
        <w:spacing w:line="240" w:lineRule="auto"/>
        <w:keepNext/>
      </w:pPr>
      <w:r>
        <w:rPr>
          <w:sz w:val="28"/>
          <w:rFonts w:ascii="Times New Roman" w:hAnsi="Times New Roman"/>
        </w:rPr>
        <w:t xml:space="preserve">Bilješka 4.</w:t>
      </w:r>
    </w:p>
    <w:p>
      <w:pPr>
        <w:jc w:val="both"/>
        <w:pStyle w:val="Normal"/>
        <w:spacing w:line="240" w:lineRule="auto"/>
      </w:pPr>
      <w:r>
        <w:rPr>
          <w:b/>
          <w:sz w:val="24"/>
          <w:rFonts w:ascii="Times New Roman" w:hAnsi="Times New Roman"/>
        </w:rPr>
        <w:t xml:space="preserve">EU izvještaj</w:t>
      </w:r>
    </w:p>
    <w:p>
      <w:r>
        <w:t xml:space="preserve">Sredstva prikazana u ovom izvještaju se odnose na Pomoćnike u nastavi. </w:t>
      </w:r>
    </w:p>
    <w:p>
      <w:r>
        <w:t xml:space="preserve">Ostvareni ukupni prihodi za 2025. godinu iznose 46.268,63 eur. </w:t>
      </w:r>
    </w:p>
    <w:p>
      <w:r>
        <w:t xml:space="preserve">Ostvareni ukupni rashodi za 2025. godinu iznose 50.418,13 eur, od toga: plaća za rad 39.114,25 eur, ostali rashodi za zaposlene(regres) 1.200,00 eur, doprinosi za zdravstvo 6.150,34 eur, materijalni rashodi (prijevoz) 3.953,54 eur.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63b088394e74ea3" /></Relationships>
</file>